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1"/>
        <w:rPr>
          <w:rFonts w:ascii="Times New Roman"/>
          <w:sz w:val="25"/>
        </w:rPr>
      </w:pPr>
    </w:p>
    <w:p>
      <w:pPr>
        <w:spacing w:before="0"/>
        <w:ind w:left="3445" w:right="4273" w:firstLine="0"/>
        <w:jc w:val="center"/>
        <w:rPr>
          <w:b/>
          <w:sz w:val="71"/>
        </w:rPr>
      </w:pPr>
      <w:r>
        <w:rPr>
          <w:b/>
          <w:sz w:val="71"/>
        </w:rPr>
        <w:t>操作说明</w:t>
      </w:r>
    </w:p>
    <w:p>
      <w:pPr>
        <w:pStyle w:val="3"/>
        <w:spacing w:before="7"/>
        <w:rPr>
          <w:b/>
          <w:sz w:val="27"/>
        </w:rPr>
      </w:pPr>
      <w:r>
        <w:pict>
          <v:group id="_x0000_s1026" o:spid="_x0000_s1026" o:spt="203" style="position:absolute;left:0pt;margin-left:267.35pt;margin-top:19.6pt;height:44.05pt;width:50.2pt;mso-position-horizontal-relative:page;mso-wrap-distance-bottom:0pt;mso-wrap-distance-top:0pt;z-index:-251649024;mso-width-relative:page;mso-height-relative:page;" coordorigin="5347,392" coordsize="1004,881">
            <o:lock v:ext="edit"/>
            <v:shape id="_x0000_s1027" o:spid="_x0000_s1027" o:spt="75" type="#_x0000_t75" style="position:absolute;left:5366;top:435;height:838;width:984;" filled="f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v:shape id="_x0000_s1028" o:spid="_x0000_s1028" o:spt="75" type="#_x0000_t75" style="position:absolute;left:5347;top:392;height:838;width:987;" filled="f" stroked="f" coordsize="21600,21600">
              <v:path/>
              <v:fill on="f" focussize="0,0"/>
              <v:stroke on="f"/>
              <v:imagedata r:id="rId9" o:title=""/>
              <o:lock v:ext="edit" aspectratio="t"/>
            </v:shape>
            <v:shape id="_x0000_s1029" o:spid="_x0000_s1029" style="position:absolute;left:6019;top:583;height:485;width:185;" fillcolor="#FFFFFF" filled="t" stroked="f" coordorigin="6019,583" coordsize="185,485" path="m6202,1047l6180,1047,6180,655,6146,655,6118,646,6084,634,6048,617,6034,612,6026,607,6019,605,6019,583,6031,588,6043,591,6067,600,6098,617,6132,629,6168,636,6204,641,6204,939,6202,1047xm6202,1068l6151,1063,6113,1054,6084,1044,6062,1030,6050,1025,6041,1020,6031,1018,6019,1013,6019,989,6026,989,6038,994,6110,1027,6144,1042,6180,1047,6202,1047,6202,1068xe">
              <v:path arrowok="t"/>
              <v:fill on="t" focussize="0,0"/>
              <v:stroke on="f"/>
              <v:imagedata o:title=""/>
              <o:lock v:ext="edit"/>
            </v:shape>
            <v:shape id="_x0000_s1030" o:spid="_x0000_s1030" style="position:absolute;left:6019;top:677;height:70;width:51;" fillcolor="#FFFFFF" filled="t" stroked="f" coordorigin="6019,677" coordsize="51,70" path="m6031,747l6019,747,6019,679,6026,677,6029,677,6046,679,6058,687,6067,699,6070,713,6067,725,6058,737,6046,744,6031,747xe">
              <v:path arrowok="t"/>
              <v:fill on="t" focussize="0,0"/>
              <v:stroke on="f"/>
              <v:imagedata o:title=""/>
              <o:lock v:ext="edit"/>
            </v:shape>
            <v:shape id="_x0000_s1031" o:spid="_x0000_s1031" o:spt="75" type="#_x0000_t75" style="position:absolute;left:5952;top:680;height:248;width:159;" filled="f" stroked="f" coordsize="21600,21600">
              <v:path/>
              <v:fill on="f" focussize="0,0"/>
              <v:stroke on="f"/>
              <v:imagedata r:id="rId10" o:title=""/>
              <o:lock v:ext="edit" aspectratio="t"/>
            </v:shape>
            <v:shape id="_x0000_s1032" o:spid="_x0000_s1032" style="position:absolute;left:5666;top:569;height:456;width:353;" fillcolor="#FFFFFF" filled="t" stroked="f" coordorigin="5666,569" coordsize="353,456" path="m5666,598l5666,576,5710,569,5753,569,5798,579,5830,591,5707,591,5666,598xm6019,605l5978,598,5938,595,5844,595,5887,581,5933,574,5976,574,6019,583,6019,605xm5832,1001l5832,655,5830,612,5789,598,5748,591,5830,591,5844,595,5933,595,5897,600,5858,612,5858,785,5856,869,5856,999,6019,999,6019,1000,5832,1001xm5666,1006l5666,982,5712,975,5755,975,5794,984,5830,999,5712,999,5666,1006xm6019,999l5856,999,5897,987,5938,979,5981,979,6019,987,6019,999xm5844,1025l5801,1008,5758,999,5830,999,5832,1001,5928,1001,5885,1008,5844,1025xm6019,1011l5974,1001,6019,1001,6019,1011xe">
              <v:path arrowok="t"/>
              <v:fill on="t" focussize="0,0"/>
              <v:stroke on="f"/>
              <v:imagedata o:title=""/>
              <o:lock v:ext="edit"/>
            </v:shape>
            <v:shape id="_x0000_s1033" o:spid="_x0000_s1033" style="position:absolute;left:5479;top:576;height:480;width:190;" fillcolor="#FFFFFF" filled="t" stroked="f" coordorigin="5479,576" coordsize="190,480" path="m5479,1056l5479,982,5482,927,5482,627,5520,624,5556,619,5587,610,5614,595,5626,591,5669,576,5669,600,5659,600,5652,603,5647,605,5611,624,5575,636,5542,643,5506,646,5503,1035,5597,1035,5590,1039,5556,1049,5520,1054,5479,1056xm5597,1035l5503,1035,5534,1032,5566,1023,5599,1011,5630,994,5659,987,5669,982,5669,1008,5657,1011,5645,1015,5635,1018,5623,1025,5597,1035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pStyle w:val="3"/>
        <w:rPr>
          <w:b/>
          <w:sz w:val="70"/>
        </w:rPr>
      </w:pPr>
      <w:bookmarkStart w:id="8" w:name="_GoBack"/>
      <w:bookmarkEnd w:id="8"/>
    </w:p>
    <w:p>
      <w:pPr>
        <w:pStyle w:val="3"/>
        <w:spacing w:before="11"/>
        <w:rPr>
          <w:b/>
          <w:sz w:val="64"/>
        </w:rPr>
      </w:pPr>
    </w:p>
    <w:p>
      <w:pPr>
        <w:spacing w:before="86"/>
        <w:ind w:left="232" w:right="0" w:firstLine="0"/>
        <w:jc w:val="left"/>
        <w:rPr>
          <w:rFonts w:hint="eastAsia"/>
          <w:b/>
          <w:color w:val="211F1F"/>
          <w:sz w:val="72"/>
          <w:lang w:val="en-US" w:eastAsia="zh-CN"/>
        </w:rPr>
      </w:pPr>
      <w:r>
        <w:rPr>
          <w:rFonts w:hint="eastAsia"/>
          <w:b/>
          <w:color w:val="211F1F"/>
          <w:sz w:val="72"/>
          <w:lang w:val="en-US" w:eastAsia="zh-CN"/>
        </w:rPr>
        <w:t>电动运板车</w:t>
      </w:r>
    </w:p>
    <w:p>
      <w:pPr>
        <w:spacing w:before="86"/>
        <w:ind w:left="232" w:right="0" w:firstLine="0"/>
        <w:jc w:val="left"/>
        <w:rPr>
          <w:rFonts w:hint="eastAsia" w:ascii="Tahoma"/>
          <w:b/>
          <w:color w:val="211F1F"/>
          <w:sz w:val="44"/>
          <w:lang w:val="en-US" w:eastAsia="zh-CN"/>
        </w:rPr>
      </w:pPr>
      <w:r>
        <w:rPr>
          <w:rFonts w:hint="eastAsia" w:ascii="Tahoma"/>
          <w:b/>
          <w:color w:val="211F1F"/>
          <w:sz w:val="44"/>
          <w:lang w:val="en-US" w:eastAsia="zh-CN"/>
        </w:rPr>
        <w:t>M2000</w:t>
      </w:r>
    </w:p>
    <w:p>
      <w:pPr>
        <w:spacing w:before="86"/>
        <w:ind w:left="232" w:right="0" w:firstLine="0"/>
        <w:jc w:val="left"/>
        <w:rPr>
          <w:b/>
          <w:sz w:val="48"/>
        </w:rPr>
      </w:pPr>
      <w:r>
        <w:rPr>
          <w:b/>
          <w:sz w:val="48"/>
        </w:rPr>
        <w:t>中文版</w:t>
      </w: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spacing w:before="3"/>
        <w:rPr>
          <w:b/>
          <w:sz w:val="2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3187700</wp:posOffset>
            </wp:positionH>
            <wp:positionV relativeFrom="paragraph">
              <wp:posOffset>205740</wp:posOffset>
            </wp:positionV>
            <wp:extent cx="1120775" cy="1228090"/>
            <wp:effectExtent l="0" t="0" r="3175" b="10160"/>
            <wp:wrapTopAndBottom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516" cy="1227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b/>
          <w:sz w:val="48"/>
        </w:rPr>
      </w:pPr>
    </w:p>
    <w:p>
      <w:pPr>
        <w:pStyle w:val="3"/>
        <w:rPr>
          <w:b/>
          <w:sz w:val="48"/>
        </w:rPr>
      </w:pPr>
    </w:p>
    <w:p>
      <w:pPr>
        <w:pStyle w:val="2"/>
        <w:spacing w:before="310" w:line="506" w:lineRule="exact"/>
        <w:ind w:left="2956"/>
        <w:rPr>
          <w:rFonts w:hint="eastAsia" w:ascii="思源黑体 CN Heavy" w:hAnsi="思源黑体 CN Heavy" w:eastAsia="思源黑体 CN Heavy" w:cs="思源黑体 CN Heavy"/>
          <w:b/>
          <w:bCs/>
        </w:rPr>
      </w:pPr>
      <w:bookmarkStart w:id="0" w:name="为了更现代的施工…"/>
      <w:bookmarkEnd w:id="0"/>
      <w:r>
        <w:rPr>
          <w:rFonts w:hint="eastAsia" w:ascii="思源黑体 CN Heavy" w:hAnsi="思源黑体 CN Heavy" w:eastAsia="思源黑体 CN Heavy" w:cs="思源黑体 CN Heavy"/>
          <w:b/>
          <w:bCs/>
        </w:rPr>
        <w:t>为了更现代的施工…</w:t>
      </w:r>
    </w:p>
    <w:p>
      <w:pPr>
        <w:spacing w:before="0" w:line="506" w:lineRule="exact"/>
        <w:ind w:left="2968" w:right="0" w:firstLine="0"/>
        <w:jc w:val="left"/>
        <w:rPr>
          <w:rFonts w:ascii="微软雅黑" w:hAnsi="微软雅黑"/>
          <w:b/>
          <w:bCs/>
          <w:sz w:val="28"/>
        </w:rPr>
      </w:pPr>
      <w:r>
        <w:rPr>
          <w:rFonts w:ascii="微软雅黑" w:hAnsi="微软雅黑"/>
          <w:b/>
          <w:bCs/>
          <w:sz w:val="28"/>
        </w:rPr>
        <w:t>For Modern Building Site…</w:t>
      </w: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14"/>
        </w:rPr>
      </w:pPr>
    </w:p>
    <w:p>
      <w:pPr>
        <w:tabs>
          <w:tab w:val="left" w:pos="7984"/>
        </w:tabs>
        <w:spacing w:before="61"/>
        <w:ind w:left="189" w:right="0" w:firstLine="0"/>
        <w:jc w:val="left"/>
        <w:rPr>
          <w:b/>
          <w:color w:val="221F1F"/>
          <w:sz w:val="28"/>
          <w:shd w:val="clear" w:color="auto" w:fill="D1D2D3"/>
        </w:rPr>
      </w:pPr>
      <w:r>
        <w:rPr>
          <w:b/>
          <w:color w:val="221F1F"/>
          <w:spacing w:val="-32"/>
          <w:w w:val="105"/>
          <w:sz w:val="28"/>
          <w:shd w:val="clear" w:color="auto" w:fill="D1D2D3"/>
        </w:rPr>
        <w:t>产</w:t>
      </w:r>
      <w:r>
        <w:rPr>
          <w:b/>
          <w:color w:val="221F1F"/>
          <w:spacing w:val="-30"/>
          <w:w w:val="105"/>
          <w:sz w:val="28"/>
          <w:shd w:val="clear" w:color="auto" w:fill="D1D2D3"/>
        </w:rPr>
        <w:t>品</w:t>
      </w:r>
      <w:r>
        <w:rPr>
          <w:b/>
          <w:color w:val="221F1F"/>
          <w:spacing w:val="-32"/>
          <w:w w:val="105"/>
          <w:sz w:val="28"/>
          <w:shd w:val="clear" w:color="auto" w:fill="D1D2D3"/>
        </w:rPr>
        <w:t>结</w:t>
      </w:r>
      <w:r>
        <w:rPr>
          <w:b/>
          <w:color w:val="221F1F"/>
          <w:w w:val="105"/>
          <w:sz w:val="28"/>
          <w:shd w:val="clear" w:color="auto" w:fill="D1D2D3"/>
        </w:rPr>
        <w:t>构</w:t>
      </w:r>
      <w:r>
        <w:rPr>
          <w:b/>
          <w:color w:val="221F1F"/>
          <w:sz w:val="28"/>
          <w:shd w:val="clear" w:color="auto" w:fill="D1D2D3"/>
        </w:rPr>
        <w:tab/>
      </w:r>
    </w:p>
    <w:p>
      <w:pPr>
        <w:tabs>
          <w:tab w:val="left" w:pos="7984"/>
        </w:tabs>
        <w:spacing w:before="61"/>
        <w:ind w:left="189" w:right="0" w:firstLine="0"/>
        <w:jc w:val="left"/>
        <w:rPr>
          <w:b/>
          <w:color w:val="221F1F"/>
          <w:sz w:val="28"/>
          <w:shd w:val="clear" w:color="auto" w:fill="D1D2D3"/>
        </w:rPr>
      </w:pPr>
    </w:p>
    <w:p>
      <w:pPr>
        <w:tabs>
          <w:tab w:val="left" w:pos="7984"/>
        </w:tabs>
        <w:spacing w:before="61"/>
        <w:ind w:left="189" w:right="0" w:firstLine="0"/>
        <w:jc w:val="left"/>
        <w:rPr>
          <w:rFonts w:hint="eastAsia" w:eastAsia="宋体"/>
          <w:b/>
          <w:color w:val="221F1F"/>
          <w:sz w:val="28"/>
          <w:shd w:val="clear" w:color="auto" w:fill="D1D2D3"/>
          <w:lang w:eastAsia="zh-CN"/>
        </w:rPr>
      </w:pPr>
      <w:r>
        <w:rPr>
          <w:rFonts w:hint="eastAsia" w:eastAsia="宋体"/>
          <w:b/>
          <w:color w:val="221F1F"/>
          <w:sz w:val="28"/>
          <w:shd w:val="clear" w:color="auto" w:fill="D1D2D3"/>
          <w:lang w:eastAsia="zh-CN"/>
        </w:rPr>
        <w:drawing>
          <wp:inline distT="0" distB="0" distL="114300" distR="114300">
            <wp:extent cx="6159500" cy="4619625"/>
            <wp:effectExtent l="0" t="0" r="12700" b="9525"/>
            <wp:docPr id="2" name="图片 2" descr="微信图片_20211028144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10281445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spacing w:before="5"/>
        <w:rPr>
          <w:rFonts w:hint="eastAsia" w:eastAsia="宋体"/>
          <w:b/>
          <w:lang w:eastAsia="zh-CN"/>
        </w:rPr>
      </w:pPr>
    </w:p>
    <w:p>
      <w:pPr>
        <w:pStyle w:val="3"/>
        <w:spacing w:before="5"/>
        <w:rPr>
          <w:rFonts w:hint="eastAsia" w:eastAsia="宋体"/>
          <w:b/>
          <w:lang w:eastAsia="zh-CN"/>
        </w:rPr>
      </w:pPr>
    </w:p>
    <w:p>
      <w:pPr>
        <w:pStyle w:val="3"/>
        <w:spacing w:before="5"/>
        <w:rPr>
          <w:rFonts w:hint="eastAsia" w:eastAsia="宋体"/>
          <w:b/>
          <w:lang w:eastAsia="zh-CN"/>
        </w:rPr>
      </w:pPr>
    </w:p>
    <w:p>
      <w:pPr>
        <w:pStyle w:val="3"/>
        <w:spacing w:before="5"/>
        <w:rPr>
          <w:rFonts w:hint="eastAsia" w:eastAsia="宋体"/>
          <w:b/>
          <w:lang w:eastAsia="zh-CN"/>
        </w:rPr>
      </w:pPr>
    </w:p>
    <w:p>
      <w:pPr>
        <w:tabs>
          <w:tab w:val="left" w:pos="8132"/>
        </w:tabs>
        <w:spacing w:before="231"/>
        <w:ind w:left="220" w:right="0" w:firstLine="0"/>
        <w:jc w:val="both"/>
        <w:rPr>
          <w:b/>
          <w:sz w:val="28"/>
        </w:rPr>
      </w:pPr>
      <w:bookmarkStart w:id="1" w:name="基本参数                                    "/>
      <w:bookmarkEnd w:id="1"/>
      <w:r>
        <w:rPr>
          <w:b/>
          <w:color w:val="221F1F"/>
          <w:spacing w:val="-32"/>
          <w:w w:val="105"/>
          <w:sz w:val="28"/>
          <w:shd w:val="clear" w:color="auto" w:fill="D1D2D3"/>
        </w:rPr>
        <w:t>基</w:t>
      </w:r>
      <w:r>
        <w:rPr>
          <w:b/>
          <w:color w:val="221F1F"/>
          <w:spacing w:val="-30"/>
          <w:w w:val="105"/>
          <w:sz w:val="28"/>
          <w:shd w:val="clear" w:color="auto" w:fill="D1D2D3"/>
        </w:rPr>
        <w:t>本</w:t>
      </w:r>
      <w:r>
        <w:rPr>
          <w:b/>
          <w:color w:val="221F1F"/>
          <w:spacing w:val="-32"/>
          <w:w w:val="105"/>
          <w:sz w:val="28"/>
          <w:shd w:val="clear" w:color="auto" w:fill="D1D2D3"/>
        </w:rPr>
        <w:t>参</w:t>
      </w:r>
      <w:r>
        <w:rPr>
          <w:b/>
          <w:color w:val="221F1F"/>
          <w:w w:val="105"/>
          <w:sz w:val="28"/>
          <w:shd w:val="clear" w:color="auto" w:fill="D1D2D3"/>
        </w:rPr>
        <w:t>数</w:t>
      </w:r>
      <w:r>
        <w:rPr>
          <w:b/>
          <w:color w:val="221F1F"/>
          <w:sz w:val="28"/>
          <w:shd w:val="clear" w:color="auto" w:fill="D1D2D3"/>
        </w:rPr>
        <w:tab/>
      </w:r>
    </w:p>
    <w:p>
      <w:pPr>
        <w:pStyle w:val="3"/>
        <w:tabs>
          <w:tab w:val="left" w:pos="4639"/>
        </w:tabs>
        <w:spacing w:before="3"/>
        <w:ind w:left="468"/>
        <w:rPr>
          <w:rFonts w:hint="default" w:ascii="Cambria" w:eastAsia="Cambria"/>
          <w:lang w:val="en-US"/>
        </w:rPr>
      </w:pPr>
      <w:bookmarkStart w:id="2" w:name="最大载重：300Kg                      电机功率：0.3"/>
      <w:bookmarkEnd w:id="2"/>
      <w:r>
        <w:rPr>
          <w:color w:val="221F1F"/>
        </w:rPr>
        <w:t>最大载重：</w:t>
      </w:r>
      <w:r>
        <w:rPr>
          <w:rFonts w:hint="eastAsia"/>
          <w:color w:val="221F1F"/>
          <w:lang w:val="en-US" w:eastAsia="zh-CN"/>
        </w:rPr>
        <w:t>2000</w:t>
      </w:r>
      <w:r>
        <w:rPr>
          <w:rFonts w:ascii="Cambria" w:eastAsia="Cambria"/>
          <w:color w:val="221F1F"/>
        </w:rPr>
        <w:t>Kg</w:t>
      </w:r>
      <w:r>
        <w:rPr>
          <w:rFonts w:ascii="Cambria" w:eastAsia="Cambria"/>
          <w:color w:val="221F1F"/>
        </w:rPr>
        <w:tab/>
      </w:r>
      <w:r>
        <w:rPr>
          <w:rFonts w:hint="eastAsia" w:ascii="Cambria"/>
          <w:color w:val="221F1F"/>
          <w:lang w:val="en-US" w:eastAsia="zh-CN"/>
        </w:rPr>
        <w:t>运输长</w:t>
      </w:r>
      <w:r>
        <w:rPr>
          <w:rFonts w:hint="eastAsia"/>
          <w:color w:val="221F1F"/>
          <w:lang w:val="en-US" w:eastAsia="zh-CN"/>
        </w:rPr>
        <w:t>度</w:t>
      </w:r>
      <w:r>
        <w:rPr>
          <w:color w:val="221F1F"/>
        </w:rPr>
        <w:t>：</w:t>
      </w:r>
      <w:r>
        <w:rPr>
          <w:rFonts w:hint="eastAsia"/>
          <w:color w:val="221F1F"/>
          <w:lang w:val="en-US" w:eastAsia="zh-CN"/>
        </w:rPr>
        <w:t>≤5m</w:t>
      </w:r>
    </w:p>
    <w:p>
      <w:pPr>
        <w:pStyle w:val="3"/>
        <w:tabs>
          <w:tab w:val="left" w:pos="4639"/>
        </w:tabs>
        <w:spacing w:before="3"/>
        <w:ind w:left="468"/>
        <w:rPr>
          <w:rFonts w:hint="eastAsia"/>
          <w:color w:val="221F1F"/>
          <w:lang w:val="en-US" w:eastAsia="zh-CN"/>
        </w:rPr>
      </w:pPr>
      <w:bookmarkStart w:id="3" w:name="额定电压：12V                       外形尺寸：2350"/>
      <w:bookmarkEnd w:id="3"/>
      <w:r>
        <w:rPr>
          <w:rFonts w:hint="eastAsia"/>
          <w:color w:val="221F1F"/>
          <w:lang w:val="en-US" w:eastAsia="zh-CN"/>
        </w:rPr>
        <w:t>装载厚度：≤60cm</w:t>
      </w:r>
    </w:p>
    <w:p>
      <w:pPr>
        <w:pStyle w:val="3"/>
        <w:tabs>
          <w:tab w:val="left" w:pos="4639"/>
        </w:tabs>
        <w:spacing w:before="3"/>
        <w:ind w:left="468"/>
        <w:rPr>
          <w:rFonts w:hint="default"/>
          <w:color w:val="221F1F"/>
          <w:lang w:val="en-US" w:eastAsia="zh-CN"/>
        </w:rPr>
      </w:pPr>
      <w:r>
        <w:rPr>
          <w:rFonts w:hint="eastAsia"/>
          <w:color w:val="221F1F"/>
          <w:lang w:val="en-US" w:eastAsia="zh-CN"/>
        </w:rPr>
        <w:t xml:space="preserve">产品自重：180Kg                    工作时长：8~12h       </w:t>
      </w:r>
    </w:p>
    <w:p>
      <w:pPr>
        <w:pStyle w:val="3"/>
        <w:tabs>
          <w:tab w:val="left" w:pos="4703"/>
        </w:tabs>
        <w:spacing w:before="52" w:line="278" w:lineRule="auto"/>
        <w:ind w:left="468" w:right="2742"/>
        <w:rPr>
          <w:rFonts w:hint="eastAsia"/>
          <w:color w:val="221F1F"/>
          <w:lang w:val="en-US" w:eastAsia="zh-CN"/>
        </w:rPr>
      </w:pPr>
      <w:r>
        <w:rPr>
          <w:color w:val="221F1F"/>
          <w:spacing w:val="-1"/>
        </w:rPr>
        <w:t>外形尺</w:t>
      </w:r>
      <w:r>
        <w:rPr>
          <w:color w:val="221F1F"/>
        </w:rPr>
        <w:t>寸：</w:t>
      </w:r>
      <w:r>
        <w:rPr>
          <w:rFonts w:hint="eastAsia"/>
          <w:color w:val="221F1F"/>
          <w:lang w:val="en-US" w:eastAsia="zh-CN"/>
        </w:rPr>
        <w:t>长1.5*宽0.8*高1.2</w:t>
      </w:r>
      <w:r>
        <w:rPr>
          <w:color w:val="221F1F"/>
        </w:rPr>
        <w:t xml:space="preserve">m </w:t>
      </w:r>
      <w:bookmarkStart w:id="4" w:name="产品用途：轻质隔墙板的安装，如ALC墙板，硅酸钙墙板，水泥板等"/>
      <w:bookmarkEnd w:id="4"/>
      <w:r>
        <w:rPr>
          <w:rFonts w:hint="eastAsia"/>
          <w:color w:val="221F1F"/>
          <w:lang w:val="en-US" w:eastAsia="zh-CN"/>
        </w:rPr>
        <w:t xml:space="preserve">   </w:t>
      </w:r>
    </w:p>
    <w:p>
      <w:pPr>
        <w:pStyle w:val="3"/>
        <w:tabs>
          <w:tab w:val="left" w:pos="4703"/>
        </w:tabs>
        <w:spacing w:before="52" w:line="278" w:lineRule="auto"/>
        <w:ind w:left="468" w:right="2742"/>
        <w:rPr>
          <w:rFonts w:hint="eastAsia" w:eastAsia="宋体"/>
          <w:lang w:eastAsia="zh-CN"/>
        </w:rPr>
      </w:pPr>
      <w:r>
        <w:rPr>
          <w:color w:val="221F1F"/>
        </w:rPr>
        <w:t>产品用途：</w:t>
      </w:r>
      <w:r>
        <w:rPr>
          <w:rFonts w:hint="eastAsia"/>
          <w:color w:val="221F1F"/>
          <w:lang w:eastAsia="zh-CN"/>
        </w:rPr>
        <w:t>适用于各类</w:t>
      </w:r>
      <w:r>
        <w:rPr>
          <w:color w:val="221F1F"/>
        </w:rPr>
        <w:t>轻质墙板</w:t>
      </w:r>
      <w:r>
        <w:rPr>
          <w:rFonts w:hint="eastAsia"/>
          <w:color w:val="221F1F"/>
          <w:lang w:eastAsia="zh-CN"/>
        </w:rPr>
        <w:t>、</w:t>
      </w:r>
      <w:r>
        <w:rPr>
          <w:color w:val="221F1F"/>
        </w:rPr>
        <w:t>ALC墙板</w:t>
      </w:r>
      <w:r>
        <w:rPr>
          <w:rFonts w:hint="eastAsia"/>
          <w:color w:val="221F1F"/>
          <w:lang w:eastAsia="zh-CN"/>
        </w:rPr>
        <w:t>、</w:t>
      </w:r>
      <w:r>
        <w:rPr>
          <w:color w:val="221F1F"/>
        </w:rPr>
        <w:t>水泥</w:t>
      </w:r>
      <w:r>
        <w:rPr>
          <w:rFonts w:hint="eastAsia"/>
          <w:color w:val="221F1F"/>
          <w:lang w:eastAsia="zh-CN"/>
        </w:rPr>
        <w:t>墙</w:t>
      </w:r>
      <w:r>
        <w:rPr>
          <w:color w:val="221F1F"/>
        </w:rPr>
        <w:t>板的</w:t>
      </w:r>
      <w:r>
        <w:rPr>
          <w:rFonts w:hint="eastAsia"/>
          <w:color w:val="221F1F"/>
          <w:lang w:val="en-US" w:eastAsia="zh-CN"/>
        </w:rPr>
        <w:t>运输</w:t>
      </w:r>
      <w:r>
        <w:rPr>
          <w:rFonts w:hint="eastAsia"/>
          <w:color w:val="221F1F"/>
          <w:lang w:eastAsia="zh-CN"/>
        </w:rPr>
        <w:t>。</w:t>
      </w:r>
    </w:p>
    <w:p>
      <w:pPr>
        <w:pStyle w:val="3"/>
        <w:tabs>
          <w:tab w:val="left" w:pos="8212"/>
        </w:tabs>
        <w:spacing w:before="5" w:line="302" w:lineRule="auto"/>
        <w:ind w:right="208" w:firstLine="217" w:firstLineChars="100"/>
        <w:rPr>
          <w:b/>
          <w:color w:val="221F1F"/>
          <w:sz w:val="28"/>
        </w:rPr>
      </w:pPr>
      <w:bookmarkStart w:id="5" w:name="设备结构"/>
      <w:bookmarkEnd w:id="5"/>
      <w:r>
        <w:rPr>
          <w:b/>
          <w:color w:val="221F1F"/>
          <w:spacing w:val="-32"/>
          <w:sz w:val="28"/>
          <w:shd w:val="clear" w:color="auto" w:fill="D1D2D3"/>
        </w:rPr>
        <w:t>设</w:t>
      </w:r>
      <w:r>
        <w:rPr>
          <w:b/>
          <w:color w:val="221F1F"/>
          <w:spacing w:val="-30"/>
          <w:sz w:val="28"/>
          <w:shd w:val="clear" w:color="auto" w:fill="D1D2D3"/>
        </w:rPr>
        <w:t>备</w:t>
      </w:r>
      <w:r>
        <w:rPr>
          <w:b/>
          <w:color w:val="221F1F"/>
          <w:spacing w:val="-32"/>
          <w:sz w:val="28"/>
          <w:shd w:val="clear" w:color="auto" w:fill="D1D2D3"/>
        </w:rPr>
        <w:t>结</w:t>
      </w:r>
      <w:r>
        <w:rPr>
          <w:b/>
          <w:color w:val="221F1F"/>
          <w:sz w:val="28"/>
          <w:shd w:val="clear" w:color="auto" w:fill="D1D2D3"/>
        </w:rPr>
        <w:t>构</w:t>
      </w:r>
      <w:r>
        <w:rPr>
          <w:b/>
          <w:color w:val="221F1F"/>
          <w:sz w:val="28"/>
          <w:shd w:val="clear" w:color="auto" w:fill="D1D2D3"/>
        </w:rPr>
        <w:tab/>
      </w:r>
      <w:r>
        <w:rPr>
          <w:b/>
          <w:color w:val="221F1F"/>
          <w:sz w:val="28"/>
        </w:rPr>
        <w:t xml:space="preserve"> </w:t>
      </w:r>
    </w:p>
    <w:p>
      <w:pPr>
        <w:pStyle w:val="3"/>
        <w:spacing w:before="106" w:line="278" w:lineRule="auto"/>
        <w:ind w:left="420" w:right="681"/>
        <w:jc w:val="both"/>
      </w:pPr>
      <w:r>
        <w:rPr>
          <w:color w:val="221F1F"/>
        </w:rPr>
        <w:t>本系列</w:t>
      </w:r>
      <w:r>
        <w:rPr>
          <w:rFonts w:hint="eastAsia"/>
          <w:color w:val="221F1F"/>
          <w:lang w:val="en-US" w:eastAsia="zh-CN"/>
        </w:rPr>
        <w:t>电动运板车</w:t>
      </w:r>
      <w:r>
        <w:rPr>
          <w:color w:val="221F1F"/>
        </w:rPr>
        <w:t>是采用</w:t>
      </w:r>
      <w:r>
        <w:rPr>
          <w:rFonts w:hint="eastAsia"/>
          <w:color w:val="221F1F"/>
          <w:lang w:val="en-US" w:eastAsia="zh-CN"/>
        </w:rPr>
        <w:t>运输车</w:t>
      </w:r>
      <w:r>
        <w:rPr>
          <w:color w:val="221F1F"/>
        </w:rPr>
        <w:t>的设计原理上，设计安装了</w:t>
      </w:r>
      <w:r>
        <w:rPr>
          <w:rFonts w:hint="eastAsia"/>
          <w:color w:val="221F1F"/>
          <w:lang w:val="en-US" w:eastAsia="zh-CN"/>
        </w:rPr>
        <w:t>万向轮用于转向，前轮为大尺寸实心胎通过性好，把手可调节长度，有固定装置</w:t>
      </w:r>
      <w:r>
        <w:rPr>
          <w:color w:val="221F1F"/>
          <w:spacing w:val="-17"/>
        </w:rPr>
        <w:t>。</w:t>
      </w:r>
    </w:p>
    <w:p>
      <w:pPr>
        <w:pStyle w:val="2"/>
        <w:tabs>
          <w:tab w:val="left" w:pos="8223"/>
        </w:tabs>
        <w:spacing w:before="85"/>
        <w:ind w:left="100"/>
        <w:jc w:val="both"/>
      </w:pPr>
      <w:bookmarkStart w:id="6" w:name="准备工作  "/>
      <w:bookmarkEnd w:id="6"/>
      <w:r>
        <w:rPr>
          <w:color w:val="221F1F"/>
          <w:spacing w:val="-1"/>
          <w:w w:val="95"/>
          <w:shd w:val="clear" w:color="auto" w:fill="D1D2D3"/>
        </w:rPr>
        <w:t>准备工</w:t>
      </w:r>
      <w:r>
        <w:rPr>
          <w:color w:val="221F1F"/>
          <w:w w:val="95"/>
          <w:shd w:val="clear" w:color="auto" w:fill="D1D2D3"/>
        </w:rPr>
        <w:t>作</w:t>
      </w:r>
      <w:r>
        <w:rPr>
          <w:color w:val="221F1F"/>
          <w:shd w:val="clear" w:color="auto" w:fill="D1D2D3"/>
        </w:rPr>
        <w:tab/>
      </w:r>
    </w:p>
    <w:p>
      <w:pPr>
        <w:pStyle w:val="7"/>
        <w:numPr>
          <w:ilvl w:val="0"/>
          <w:numId w:val="1"/>
        </w:numPr>
        <w:tabs>
          <w:tab w:val="left" w:pos="621"/>
        </w:tabs>
        <w:spacing w:before="58" w:after="0" w:line="240" w:lineRule="auto"/>
        <w:ind w:left="620" w:right="0" w:hanging="242"/>
        <w:jc w:val="left"/>
        <w:rPr>
          <w:sz w:val="24"/>
        </w:rPr>
      </w:pPr>
      <w:r>
        <w:rPr>
          <w:color w:val="221F1F"/>
          <w:sz w:val="24"/>
        </w:rPr>
        <w:t>选择作业位置，首先要看周围工作场地有无杂物。</w:t>
      </w:r>
    </w:p>
    <w:p>
      <w:pPr>
        <w:pStyle w:val="7"/>
        <w:numPr>
          <w:ilvl w:val="0"/>
          <w:numId w:val="1"/>
        </w:numPr>
        <w:tabs>
          <w:tab w:val="left" w:pos="621"/>
        </w:tabs>
        <w:spacing w:before="108" w:after="0" w:line="240" w:lineRule="auto"/>
        <w:ind w:left="620" w:right="0" w:hanging="242"/>
        <w:jc w:val="left"/>
        <w:rPr>
          <w:sz w:val="24"/>
        </w:rPr>
      </w:pPr>
      <w:r>
        <w:rPr>
          <w:color w:val="221F1F"/>
          <w:sz w:val="24"/>
        </w:rPr>
        <w:t>检查设备电量，</w:t>
      </w:r>
      <w:r>
        <w:rPr>
          <w:rFonts w:hint="eastAsia"/>
          <w:color w:val="221F1F"/>
          <w:sz w:val="24"/>
          <w:lang w:val="en-US" w:eastAsia="zh-CN"/>
        </w:rPr>
        <w:t>空载运行测试功能是否正常</w:t>
      </w:r>
      <w:r>
        <w:rPr>
          <w:color w:val="221F1F"/>
          <w:sz w:val="24"/>
        </w:rPr>
        <w:t>。</w:t>
      </w:r>
    </w:p>
    <w:p>
      <w:pPr>
        <w:pStyle w:val="7"/>
        <w:numPr>
          <w:ilvl w:val="0"/>
          <w:numId w:val="1"/>
        </w:numPr>
        <w:tabs>
          <w:tab w:val="left" w:pos="621"/>
        </w:tabs>
        <w:spacing w:before="105" w:after="0" w:line="240" w:lineRule="auto"/>
        <w:ind w:left="620" w:right="0" w:hanging="242"/>
        <w:jc w:val="left"/>
        <w:rPr>
          <w:sz w:val="24"/>
        </w:rPr>
        <w:sectPr>
          <w:headerReference r:id="rId5" w:type="default"/>
          <w:footerReference r:id="rId6" w:type="default"/>
          <w:pgSz w:w="11910" w:h="16840"/>
          <w:pgMar w:top="1260" w:right="400" w:bottom="940" w:left="900" w:header="504" w:footer="756" w:gutter="0"/>
          <w:cols w:space="720" w:num="1"/>
        </w:sectPr>
      </w:pPr>
      <w:r>
        <w:rPr>
          <w:color w:val="221F1F"/>
          <w:sz w:val="24"/>
        </w:rPr>
        <w:t>工作前检查</w:t>
      </w:r>
      <w:r>
        <w:rPr>
          <w:rFonts w:hint="eastAsia"/>
          <w:color w:val="221F1F"/>
          <w:sz w:val="24"/>
          <w:lang w:val="en-US" w:eastAsia="zh-CN"/>
        </w:rPr>
        <w:t>设备</w:t>
      </w:r>
      <w:r>
        <w:rPr>
          <w:rFonts w:hint="eastAsia"/>
          <w:color w:val="221F1F"/>
          <w:sz w:val="24"/>
          <w:lang w:eastAsia="zh-CN"/>
        </w:rPr>
        <w:t>表面是否</w:t>
      </w:r>
      <w:r>
        <w:rPr>
          <w:rFonts w:hint="eastAsia"/>
          <w:color w:val="221F1F"/>
          <w:sz w:val="24"/>
          <w:lang w:val="en-US" w:eastAsia="zh-CN"/>
        </w:rPr>
        <w:t>异常，检查轮胎</w:t>
      </w:r>
      <w:r>
        <w:rPr>
          <w:rFonts w:hint="eastAsia"/>
          <w:color w:val="221F1F"/>
          <w:sz w:val="24"/>
          <w:lang w:eastAsia="zh-CN"/>
        </w:rPr>
        <w:t>以及</w:t>
      </w:r>
      <w:r>
        <w:rPr>
          <w:rFonts w:hint="eastAsia"/>
          <w:color w:val="221F1F"/>
          <w:sz w:val="24"/>
          <w:lang w:val="en-US" w:eastAsia="zh-CN"/>
        </w:rPr>
        <w:t>设备电</w:t>
      </w:r>
      <w:r>
        <w:rPr>
          <w:color w:val="221F1F"/>
          <w:sz w:val="24"/>
        </w:rPr>
        <w:t>量。</w:t>
      </w:r>
    </w:p>
    <w:p>
      <w:pPr>
        <w:pStyle w:val="2"/>
        <w:tabs>
          <w:tab w:val="left" w:pos="8406"/>
        </w:tabs>
        <w:spacing w:before="52" w:after="21"/>
        <w:ind w:left="0" w:leftChars="0" w:firstLine="0" w:firstLineChars="0"/>
        <w:rPr>
          <w:sz w:val="20"/>
        </w:rPr>
      </w:pPr>
      <w:r>
        <w:rPr>
          <w:color w:val="221F1F"/>
          <w:spacing w:val="-32"/>
          <w:w w:val="105"/>
          <w:shd w:val="clear" w:color="auto" w:fill="D1D2D3"/>
        </w:rPr>
        <w:t>使</w:t>
      </w:r>
      <w:r>
        <w:rPr>
          <w:color w:val="221F1F"/>
          <w:spacing w:val="-30"/>
          <w:w w:val="105"/>
          <w:shd w:val="clear" w:color="auto" w:fill="D1D2D3"/>
        </w:rPr>
        <w:t>用</w:t>
      </w:r>
      <w:r>
        <w:rPr>
          <w:color w:val="221F1F"/>
          <w:spacing w:val="-32"/>
          <w:w w:val="105"/>
          <w:shd w:val="clear" w:color="auto" w:fill="D1D2D3"/>
        </w:rPr>
        <w:t>步</w:t>
      </w:r>
      <w:r>
        <w:rPr>
          <w:color w:val="221F1F"/>
          <w:w w:val="105"/>
          <w:shd w:val="clear" w:color="auto" w:fill="D1D2D3"/>
        </w:rPr>
        <w:t>骤</w:t>
      </w:r>
      <w:r>
        <w:rPr>
          <w:color w:val="221F1F"/>
          <w:shd w:val="clear" w:color="auto" w:fill="D1D2D3"/>
        </w:rPr>
        <w:tab/>
      </w:r>
      <w:r>
        <w:rPr>
          <w:sz w:val="20"/>
        </w:rPr>
        <w:tab/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621"/>
          <w:tab w:val="clear" w:pos="31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7" w:after="0" w:line="288" w:lineRule="auto"/>
        <w:ind w:right="0" w:rightChars="0"/>
        <w:jc w:val="left"/>
        <w:textAlignment w:val="auto"/>
        <w:rPr>
          <w:rFonts w:hint="eastAsia"/>
          <w:color w:val="211F1F"/>
          <w:sz w:val="24"/>
          <w:lang w:eastAsia="zh-CN"/>
        </w:rPr>
      </w:pPr>
      <w:r>
        <w:rPr>
          <w:color w:val="211F1F"/>
          <w:sz w:val="24"/>
        </w:rPr>
        <w:t>打开蓄电池电源开关</w:t>
      </w:r>
      <w:r>
        <w:rPr>
          <w:rFonts w:hint="eastAsia"/>
          <w:color w:val="211F1F"/>
          <w:sz w:val="24"/>
          <w:lang w:eastAsia="zh-CN"/>
        </w:rPr>
        <w:t>。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2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7" w:after="0" w:line="288" w:lineRule="auto"/>
        <w:ind w:left="378" w:leftChars="0" w:right="0" w:rightChars="0"/>
        <w:jc w:val="left"/>
        <w:textAlignment w:val="auto"/>
        <w:rPr>
          <w:rFonts w:hint="eastAsia"/>
          <w:color w:val="211F1F"/>
          <w:sz w:val="24"/>
          <w:lang w:eastAsia="zh-CN"/>
        </w:rPr>
      </w:pPr>
      <w:r>
        <w:rPr>
          <w:rFonts w:hint="eastAsia"/>
          <w:color w:val="211F1F"/>
          <w:sz w:val="24"/>
          <w:lang w:eastAsia="zh-CN"/>
        </w:rPr>
        <w:drawing>
          <wp:inline distT="0" distB="0" distL="114300" distR="114300">
            <wp:extent cx="5184775" cy="3792855"/>
            <wp:effectExtent l="0" t="0" r="15875" b="17145"/>
            <wp:docPr id="3" name="图片 3" descr="微信图片_20230905135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9051351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2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86" w:after="0" w:line="288" w:lineRule="auto"/>
        <w:ind w:right="0" w:rightChars="0"/>
        <w:jc w:val="left"/>
        <w:textAlignment w:val="auto"/>
        <w:rPr>
          <w:rFonts w:hint="eastAsia" w:eastAsia="宋体"/>
          <w:sz w:val="24"/>
          <w:lang w:eastAsia="zh-CN"/>
        </w:rPr>
      </w:pPr>
      <w:r>
        <w:rPr>
          <w:rFonts w:hint="eastAsia"/>
          <w:color w:val="211F1F"/>
          <w:sz w:val="24"/>
          <w:lang w:val="en-US" w:eastAsia="zh-CN"/>
        </w:rPr>
        <w:t>2.电动行走</w:t>
      </w:r>
      <w:r>
        <w:rPr>
          <w:color w:val="211F1F"/>
          <w:sz w:val="24"/>
        </w:rPr>
        <w:t>到墙板放置处</w:t>
      </w:r>
      <w:r>
        <w:rPr>
          <w:rFonts w:hint="eastAsia"/>
          <w:color w:val="211F1F"/>
          <w:sz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88" w:lineRule="auto"/>
        <w:ind w:right="0" w:rightChars="0"/>
        <w:jc w:val="left"/>
        <w:textAlignment w:val="auto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3.等待装板，使用工具将板材平放在电动运板车3个滚轴上（此时滚轴为固定状态，插销锁住）。一次性最多可以装载3块20公分厚的板材，板材长度不要超过5米。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88" w:lineRule="auto"/>
        <w:ind w:right="0" w:rightChars="0"/>
        <w:jc w:val="left"/>
        <w:textAlignment w:val="auto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   </w:t>
      </w:r>
      <w:r>
        <w:rPr>
          <w:rFonts w:hint="default"/>
          <w:sz w:val="24"/>
          <w:lang w:val="en-US" w:eastAsia="zh-CN"/>
        </w:rPr>
        <w:drawing>
          <wp:inline distT="0" distB="0" distL="114300" distR="114300">
            <wp:extent cx="2229485" cy="2015490"/>
            <wp:effectExtent l="0" t="0" r="18415" b="3810"/>
            <wp:docPr id="4" name="图片 4" descr="微信图片_20230905140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9051403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         </w:t>
      </w:r>
      <w:r>
        <w:rPr>
          <w:rFonts w:hint="default"/>
          <w:sz w:val="24"/>
          <w:lang w:val="en-US" w:eastAsia="zh-CN"/>
        </w:rPr>
        <w:drawing>
          <wp:inline distT="0" distB="0" distL="114300" distR="114300">
            <wp:extent cx="2192020" cy="1991360"/>
            <wp:effectExtent l="0" t="0" r="17780" b="8890"/>
            <wp:docPr id="5" name="图片 5" descr="微信图片_2023090514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9051403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88" w:lineRule="auto"/>
        <w:ind w:right="0" w:rightChars="0"/>
        <w:jc w:val="left"/>
        <w:textAlignment w:val="auto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4.电动行走将板材运输至指定位置。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88" w:lineRule="auto"/>
        <w:ind w:right="0" w:rightChars="0"/>
        <w:jc w:val="left"/>
        <w:textAlignment w:val="auto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5.板材卸车。将滚轴的固定插销取下，滚轴即可滑动，将板材向前推动，板材前端在滑动过程中由于重力原因头自然下沉，提前可放置垫块进行缓冲。前端和垫块接触后，后方再放一个垫块，电动运板车后退，板材后端滑落和后垫块接触，自卸板材完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88" w:lineRule="auto"/>
        <w:ind w:right="0" w:rightChars="0"/>
        <w:jc w:val="left"/>
        <w:textAlignment w:val="auto"/>
        <w:rPr>
          <w:rFonts w:hint="default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88" w:lineRule="auto"/>
        <w:ind w:right="0" w:rightChars="0"/>
        <w:jc w:val="left"/>
        <w:textAlignment w:val="auto"/>
        <w:rPr>
          <w:rFonts w:hint="eastAsia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88" w:lineRule="auto"/>
        <w:ind w:right="0" w:rightChars="0"/>
        <w:jc w:val="left"/>
        <w:textAlignment w:val="auto"/>
        <w:rPr>
          <w:rFonts w:hint="default"/>
          <w:sz w:val="24"/>
          <w:lang w:val="en-US" w:eastAsia="zh-CN"/>
        </w:rPr>
        <w:sectPr>
          <w:pgSz w:w="11910" w:h="16840"/>
          <w:pgMar w:top="1260" w:right="400" w:bottom="940" w:left="900" w:header="504" w:footer="756" w:gutter="0"/>
          <w:cols w:space="720" w:num="1"/>
        </w:sectPr>
      </w:pPr>
    </w:p>
    <w:p>
      <w:pPr>
        <w:pStyle w:val="2"/>
        <w:tabs>
          <w:tab w:val="left" w:pos="8415"/>
        </w:tabs>
      </w:pPr>
      <w:bookmarkStart w:id="7" w:name="安全操作技术规则                                "/>
      <w:bookmarkEnd w:id="7"/>
      <w:r>
        <w:rPr>
          <w:color w:val="221F1F"/>
          <w:spacing w:val="-32"/>
          <w:w w:val="105"/>
          <w:shd w:val="clear" w:color="auto" w:fill="D1D2D3"/>
        </w:rPr>
        <w:t>安</w:t>
      </w:r>
      <w:r>
        <w:rPr>
          <w:color w:val="221F1F"/>
          <w:spacing w:val="-30"/>
          <w:w w:val="105"/>
          <w:shd w:val="clear" w:color="auto" w:fill="D1D2D3"/>
        </w:rPr>
        <w:t>全</w:t>
      </w:r>
      <w:r>
        <w:rPr>
          <w:color w:val="221F1F"/>
          <w:spacing w:val="-32"/>
          <w:w w:val="105"/>
          <w:shd w:val="clear" w:color="auto" w:fill="D1D2D3"/>
        </w:rPr>
        <w:t>操</w:t>
      </w:r>
      <w:r>
        <w:rPr>
          <w:color w:val="221F1F"/>
          <w:spacing w:val="-30"/>
          <w:w w:val="105"/>
          <w:shd w:val="clear" w:color="auto" w:fill="D1D2D3"/>
        </w:rPr>
        <w:t>作</w:t>
      </w:r>
      <w:r>
        <w:rPr>
          <w:color w:val="221F1F"/>
          <w:spacing w:val="-32"/>
          <w:w w:val="105"/>
          <w:shd w:val="clear" w:color="auto" w:fill="D1D2D3"/>
        </w:rPr>
        <w:t>技</w:t>
      </w:r>
      <w:r>
        <w:rPr>
          <w:color w:val="221F1F"/>
          <w:spacing w:val="-30"/>
          <w:w w:val="105"/>
          <w:shd w:val="clear" w:color="auto" w:fill="D1D2D3"/>
        </w:rPr>
        <w:t>术</w:t>
      </w:r>
      <w:r>
        <w:rPr>
          <w:color w:val="221F1F"/>
          <w:spacing w:val="-32"/>
          <w:w w:val="105"/>
          <w:shd w:val="clear" w:color="auto" w:fill="D1D2D3"/>
        </w:rPr>
        <w:t>规</w:t>
      </w:r>
      <w:r>
        <w:rPr>
          <w:color w:val="221F1F"/>
          <w:w w:val="105"/>
          <w:shd w:val="clear" w:color="auto" w:fill="D1D2D3"/>
        </w:rPr>
        <w:t>则</w:t>
      </w:r>
      <w:r>
        <w:rPr>
          <w:color w:val="221F1F"/>
          <w:shd w:val="clear" w:color="auto" w:fill="D1D2D3"/>
        </w:rPr>
        <w:tab/>
      </w:r>
    </w:p>
    <w:p>
      <w:pPr>
        <w:pStyle w:val="3"/>
        <w:spacing w:before="31" w:line="278" w:lineRule="auto"/>
        <w:ind w:left="199" w:right="540" w:firstLine="180"/>
      </w:pPr>
      <w:r>
        <w:rPr>
          <w:color w:val="221F1F"/>
        </w:rPr>
        <w:t>为了正确使用机器，保证安装工作顺利进行，操作人员必须严格遵守下列操作规程，不得违章作业。</w:t>
      </w:r>
    </w:p>
    <w:p>
      <w:pPr>
        <w:pStyle w:val="7"/>
        <w:numPr>
          <w:ilvl w:val="0"/>
          <w:numId w:val="3"/>
        </w:numPr>
        <w:tabs>
          <w:tab w:val="left" w:pos="621"/>
        </w:tabs>
        <w:spacing w:before="28" w:after="0" w:line="240" w:lineRule="auto"/>
        <w:ind w:left="620" w:right="0" w:hanging="242"/>
        <w:jc w:val="left"/>
        <w:rPr>
          <w:sz w:val="24"/>
        </w:rPr>
      </w:pPr>
      <w:r>
        <w:rPr>
          <w:color w:val="221F1F"/>
          <w:sz w:val="24"/>
        </w:rPr>
        <w:t>对工作人员进行安全教育，熟悉本说明书的内容，了解安全生产的意义。</w:t>
      </w:r>
    </w:p>
    <w:p>
      <w:pPr>
        <w:pStyle w:val="7"/>
        <w:numPr>
          <w:ilvl w:val="0"/>
          <w:numId w:val="3"/>
        </w:numPr>
        <w:tabs>
          <w:tab w:val="left" w:pos="622"/>
        </w:tabs>
        <w:spacing w:before="77" w:after="0" w:line="280" w:lineRule="auto"/>
        <w:ind w:left="199" w:right="540" w:firstLine="180"/>
        <w:jc w:val="left"/>
        <w:rPr>
          <w:sz w:val="24"/>
        </w:rPr>
      </w:pPr>
      <w:r>
        <w:rPr>
          <w:color w:val="221F1F"/>
          <w:sz w:val="24"/>
        </w:rPr>
        <w:t>禁止非操作人员随意操纵机器，应有专人负责，熟悉掌握机器的操作方式，各工作人员动作要协调一致，密切配合。</w:t>
      </w:r>
    </w:p>
    <w:p>
      <w:pPr>
        <w:pStyle w:val="7"/>
        <w:numPr>
          <w:ilvl w:val="0"/>
          <w:numId w:val="3"/>
        </w:numPr>
        <w:tabs>
          <w:tab w:val="left" w:pos="621"/>
        </w:tabs>
        <w:spacing w:before="24" w:after="0" w:line="240" w:lineRule="auto"/>
        <w:ind w:left="620" w:right="0" w:hanging="242"/>
        <w:jc w:val="left"/>
        <w:rPr>
          <w:sz w:val="24"/>
        </w:rPr>
      </w:pPr>
      <w:r>
        <w:rPr>
          <w:color w:val="221F1F"/>
          <w:sz w:val="24"/>
        </w:rPr>
        <w:t>作业时，机器发生故障应立即停车检查排除，严禁带病作业。</w:t>
      </w:r>
    </w:p>
    <w:p>
      <w:pPr>
        <w:pStyle w:val="7"/>
        <w:numPr>
          <w:ilvl w:val="0"/>
          <w:numId w:val="3"/>
        </w:numPr>
        <w:tabs>
          <w:tab w:val="left" w:pos="621"/>
        </w:tabs>
        <w:spacing w:before="77" w:after="0" w:line="240" w:lineRule="auto"/>
        <w:ind w:left="620" w:right="0" w:hanging="242"/>
        <w:jc w:val="left"/>
        <w:rPr>
          <w:sz w:val="24"/>
        </w:rPr>
      </w:pPr>
      <w:r>
        <w:rPr>
          <w:color w:val="221F1F"/>
          <w:sz w:val="24"/>
        </w:rPr>
        <w:t>机器运转时，严禁将手伸入各部分进行调整，排除故障和检查机器。</w:t>
      </w:r>
    </w:p>
    <w:p>
      <w:pPr>
        <w:pStyle w:val="7"/>
        <w:numPr>
          <w:ilvl w:val="0"/>
          <w:numId w:val="0"/>
        </w:numPr>
        <w:tabs>
          <w:tab w:val="left" w:pos="621"/>
          <w:tab w:val="left" w:pos="9064"/>
        </w:tabs>
        <w:spacing w:before="24" w:after="0" w:line="300" w:lineRule="auto"/>
        <w:ind w:left="378" w:leftChars="0" w:right="868" w:rightChars="0"/>
        <w:jc w:val="left"/>
        <w:rPr>
          <w:sz w:val="24"/>
        </w:rPr>
      </w:pPr>
      <w:r>
        <w:rPr>
          <w:b/>
          <w:color w:val="211F1F"/>
          <w:spacing w:val="-32"/>
          <w:w w:val="95"/>
          <w:sz w:val="28"/>
          <w:shd w:val="clear" w:color="auto" w:fill="D1D2D2"/>
        </w:rPr>
        <w:t>故</w:t>
      </w:r>
      <w:r>
        <w:rPr>
          <w:b/>
          <w:color w:val="211F1F"/>
          <w:spacing w:val="-1"/>
          <w:w w:val="95"/>
          <w:sz w:val="28"/>
          <w:shd w:val="clear" w:color="auto" w:fill="D1D2D2"/>
        </w:rPr>
        <w:t>障排除方</w:t>
      </w:r>
      <w:r>
        <w:rPr>
          <w:b/>
          <w:color w:val="211F1F"/>
          <w:w w:val="95"/>
          <w:sz w:val="28"/>
          <w:shd w:val="clear" w:color="auto" w:fill="D1D2D2"/>
        </w:rPr>
        <w:t>法</w:t>
      </w:r>
      <w:r>
        <w:rPr>
          <w:b/>
          <w:color w:val="211F1F"/>
          <w:w w:val="95"/>
          <w:sz w:val="28"/>
          <w:shd w:val="clear" w:color="auto" w:fill="D1D2D2"/>
        </w:rPr>
        <w:tab/>
      </w:r>
      <w:r>
        <w:rPr>
          <w:b/>
          <w:color w:val="211F1F"/>
          <w:w w:val="95"/>
          <w:sz w:val="28"/>
        </w:rPr>
        <w:t xml:space="preserve"> </w:t>
      </w:r>
    </w:p>
    <w:p>
      <w:pPr>
        <w:pStyle w:val="7"/>
        <w:numPr>
          <w:ilvl w:val="0"/>
          <w:numId w:val="0"/>
        </w:numPr>
        <w:tabs>
          <w:tab w:val="left" w:pos="621"/>
          <w:tab w:val="left" w:pos="9064"/>
        </w:tabs>
        <w:spacing w:before="24" w:after="0" w:line="300" w:lineRule="auto"/>
        <w:ind w:left="378" w:leftChars="0" w:right="868" w:rightChars="0"/>
        <w:jc w:val="left"/>
        <w:rPr>
          <w:sz w:val="24"/>
        </w:rPr>
      </w:pPr>
      <w:r>
        <w:rPr>
          <w:color w:val="211F1F"/>
          <w:sz w:val="24"/>
        </w:rPr>
        <w:t>1.驱动不走，检查电瓶电量。检查前进倒退挡杆。</w:t>
      </w:r>
    </w:p>
    <w:p>
      <w:pPr>
        <w:pStyle w:val="7"/>
        <w:numPr>
          <w:ilvl w:val="0"/>
          <w:numId w:val="4"/>
        </w:numPr>
        <w:tabs>
          <w:tab w:val="left" w:pos="606"/>
        </w:tabs>
        <w:spacing w:before="0" w:after="0" w:line="283" w:lineRule="exact"/>
        <w:ind w:left="605" w:right="0" w:hanging="242"/>
        <w:jc w:val="left"/>
        <w:rPr>
          <w:sz w:val="24"/>
        </w:rPr>
      </w:pPr>
      <w:r>
        <w:rPr>
          <w:rFonts w:hint="eastAsia"/>
          <w:color w:val="211F1F"/>
          <w:sz w:val="24"/>
          <w:lang w:val="en-US" w:eastAsia="zh-CN"/>
        </w:rPr>
        <w:t>每日</w:t>
      </w:r>
      <w:r>
        <w:rPr>
          <w:color w:val="211F1F"/>
          <w:sz w:val="24"/>
        </w:rPr>
        <w:t>检查电瓶电量</w:t>
      </w:r>
      <w:r>
        <w:rPr>
          <w:rFonts w:hint="eastAsia"/>
          <w:color w:val="211F1F"/>
          <w:sz w:val="24"/>
          <w:lang w:eastAsia="zh-CN"/>
        </w:rPr>
        <w:t>。</w:t>
      </w:r>
    </w:p>
    <w:p>
      <w:pPr>
        <w:pStyle w:val="7"/>
        <w:numPr>
          <w:ilvl w:val="0"/>
          <w:numId w:val="4"/>
        </w:numPr>
        <w:tabs>
          <w:tab w:val="left" w:pos="606"/>
        </w:tabs>
        <w:spacing w:before="0" w:after="0" w:line="283" w:lineRule="exact"/>
        <w:ind w:left="605" w:right="0" w:hanging="242"/>
        <w:jc w:val="left"/>
        <w:rPr>
          <w:sz w:val="24"/>
        </w:rPr>
      </w:pPr>
      <w:r>
        <w:rPr>
          <w:rFonts w:hint="eastAsia"/>
          <w:color w:val="211F1F"/>
          <w:sz w:val="24"/>
          <w:lang w:val="en-US" w:eastAsia="zh-CN"/>
        </w:rPr>
        <w:t>每日检查轮胎。</w:t>
      </w:r>
    </w:p>
    <w:p>
      <w:pPr>
        <w:pStyle w:val="7"/>
        <w:numPr>
          <w:ilvl w:val="0"/>
          <w:numId w:val="0"/>
        </w:numPr>
        <w:tabs>
          <w:tab w:val="left" w:pos="606"/>
          <w:tab w:val="left" w:pos="8283"/>
        </w:tabs>
        <w:spacing w:before="58" w:after="0" w:line="285" w:lineRule="auto"/>
        <w:ind w:left="364" w:leftChars="0" w:right="403" w:rightChars="0"/>
        <w:jc w:val="left"/>
        <w:rPr>
          <w:sz w:val="24"/>
        </w:rPr>
      </w:pPr>
      <w:r>
        <w:rPr>
          <w:b/>
          <w:color w:val="211F1F"/>
          <w:w w:val="90"/>
          <w:sz w:val="28"/>
          <w:shd w:val="clear" w:color="auto" w:fill="D1D2D2"/>
        </w:rPr>
        <w:t>维</w:t>
      </w:r>
      <w:r>
        <w:rPr>
          <w:b/>
          <w:color w:val="211F1F"/>
          <w:spacing w:val="4"/>
          <w:w w:val="90"/>
          <w:sz w:val="28"/>
          <w:shd w:val="clear" w:color="auto" w:fill="D1D2D2"/>
        </w:rPr>
        <w:t>护</w:t>
      </w:r>
      <w:r>
        <w:rPr>
          <w:b/>
          <w:color w:val="211F1F"/>
          <w:w w:val="90"/>
          <w:sz w:val="28"/>
          <w:shd w:val="clear" w:color="auto" w:fill="D1D2D2"/>
        </w:rPr>
        <w:t>操作</w:t>
      </w:r>
      <w:r>
        <w:rPr>
          <w:b/>
          <w:color w:val="211F1F"/>
          <w:w w:val="90"/>
          <w:sz w:val="28"/>
          <w:shd w:val="clear" w:color="auto" w:fill="D1D2D2"/>
        </w:rPr>
        <w:tab/>
      </w:r>
      <w:r>
        <w:rPr>
          <w:b/>
          <w:color w:val="211F1F"/>
          <w:w w:val="90"/>
          <w:sz w:val="28"/>
        </w:rPr>
        <w:t xml:space="preserve"> </w:t>
      </w:r>
    </w:p>
    <w:p>
      <w:pPr>
        <w:pStyle w:val="7"/>
        <w:numPr>
          <w:ilvl w:val="0"/>
          <w:numId w:val="0"/>
        </w:numPr>
        <w:tabs>
          <w:tab w:val="left" w:pos="606"/>
          <w:tab w:val="left" w:pos="8283"/>
        </w:tabs>
        <w:spacing w:before="58" w:after="0" w:line="285" w:lineRule="auto"/>
        <w:ind w:left="364" w:leftChars="0" w:right="403" w:rightChars="0"/>
        <w:jc w:val="left"/>
        <w:rPr>
          <w:rFonts w:hint="eastAsia" w:eastAsia="宋体"/>
          <w:sz w:val="24"/>
          <w:lang w:eastAsia="zh-CN"/>
        </w:rPr>
      </w:pPr>
      <w:r>
        <w:rPr>
          <w:color w:val="211F1F"/>
          <w:sz w:val="24"/>
        </w:rPr>
        <w:t>1.每次作业完毕</w:t>
      </w:r>
      <w:r>
        <w:rPr>
          <w:rFonts w:hint="eastAsia"/>
          <w:color w:val="211F1F"/>
          <w:sz w:val="24"/>
          <w:lang w:val="en-US" w:eastAsia="zh-CN"/>
        </w:rPr>
        <w:t>及使用</w:t>
      </w:r>
      <w:r>
        <w:rPr>
          <w:color w:val="211F1F"/>
          <w:sz w:val="24"/>
        </w:rPr>
        <w:t>后，</w:t>
      </w:r>
      <w:r>
        <w:rPr>
          <w:rFonts w:hint="eastAsia"/>
          <w:color w:val="211F1F"/>
          <w:sz w:val="24"/>
          <w:lang w:val="en-US" w:eastAsia="zh-CN"/>
        </w:rPr>
        <w:t>需</w:t>
      </w:r>
      <w:r>
        <w:rPr>
          <w:color w:val="211F1F"/>
          <w:sz w:val="24"/>
        </w:rPr>
        <w:t>对整机进行检查</w:t>
      </w:r>
      <w:r>
        <w:rPr>
          <w:rFonts w:hint="eastAsia"/>
          <w:color w:val="211F1F"/>
          <w:sz w:val="24"/>
          <w:lang w:eastAsia="zh-CN"/>
        </w:rPr>
        <w:t>。</w:t>
      </w:r>
    </w:p>
    <w:p>
      <w:pPr>
        <w:pStyle w:val="7"/>
        <w:numPr>
          <w:ilvl w:val="0"/>
          <w:numId w:val="5"/>
        </w:numPr>
        <w:tabs>
          <w:tab w:val="left" w:pos="621"/>
        </w:tabs>
        <w:spacing w:before="0" w:after="0" w:line="301" w:lineRule="exact"/>
        <w:ind w:left="620" w:right="0" w:hanging="242"/>
        <w:jc w:val="left"/>
        <w:rPr>
          <w:sz w:val="24"/>
        </w:rPr>
      </w:pPr>
      <w:r>
        <w:rPr>
          <w:color w:val="211F1F"/>
          <w:sz w:val="24"/>
        </w:rPr>
        <w:t>对轮胎</w:t>
      </w:r>
      <w:r>
        <w:rPr>
          <w:rFonts w:hint="eastAsia"/>
          <w:color w:val="211F1F"/>
          <w:sz w:val="24"/>
          <w:lang w:eastAsia="zh-CN"/>
        </w:rPr>
        <w:t>定期</w:t>
      </w:r>
      <w:r>
        <w:rPr>
          <w:color w:val="211F1F"/>
          <w:sz w:val="24"/>
        </w:rPr>
        <w:t>检查，电瓶接触点检查</w:t>
      </w:r>
      <w:r>
        <w:rPr>
          <w:rFonts w:hint="eastAsia"/>
          <w:color w:val="211F1F"/>
          <w:sz w:val="24"/>
          <w:lang w:eastAsia="zh-CN"/>
        </w:rPr>
        <w:t>。</w:t>
      </w:r>
    </w:p>
    <w:p>
      <w:pPr>
        <w:pStyle w:val="7"/>
        <w:numPr>
          <w:ilvl w:val="0"/>
          <w:numId w:val="5"/>
        </w:numPr>
        <w:tabs>
          <w:tab w:val="left" w:pos="621"/>
        </w:tabs>
        <w:spacing w:before="59" w:after="0" w:line="240" w:lineRule="auto"/>
        <w:ind w:left="620" w:right="0" w:hanging="242"/>
        <w:jc w:val="left"/>
        <w:rPr>
          <w:sz w:val="24"/>
        </w:rPr>
      </w:pPr>
      <w:r>
        <w:rPr>
          <w:color w:val="211F1F"/>
          <w:sz w:val="24"/>
        </w:rPr>
        <w:t>检查驱动电机。</w:t>
      </w:r>
    </w:p>
    <w:p>
      <w:pPr>
        <w:pStyle w:val="7"/>
        <w:numPr>
          <w:ilvl w:val="0"/>
          <w:numId w:val="5"/>
        </w:numPr>
        <w:tabs>
          <w:tab w:val="left" w:pos="621"/>
        </w:tabs>
        <w:spacing w:before="55" w:after="0" w:line="240" w:lineRule="auto"/>
        <w:ind w:left="620" w:right="0" w:hanging="242"/>
        <w:jc w:val="left"/>
        <w:rPr>
          <w:sz w:val="24"/>
        </w:rPr>
      </w:pPr>
      <w:r>
        <w:rPr>
          <w:color w:val="211F1F"/>
          <w:sz w:val="24"/>
        </w:rPr>
        <w:t>检查驱动电机链条，齿轮，有无磨损。</w:t>
      </w:r>
    </w:p>
    <w:p>
      <w:pPr>
        <w:pStyle w:val="7"/>
        <w:numPr>
          <w:ilvl w:val="0"/>
          <w:numId w:val="5"/>
        </w:numPr>
        <w:tabs>
          <w:tab w:val="left" w:pos="621"/>
        </w:tabs>
        <w:spacing w:before="58" w:after="0" w:line="240" w:lineRule="auto"/>
        <w:ind w:left="620" w:right="0" w:hanging="242"/>
        <w:jc w:val="left"/>
        <w:rPr>
          <w:sz w:val="24"/>
        </w:rPr>
      </w:pPr>
      <w:r>
        <w:rPr>
          <w:color w:val="211F1F"/>
          <w:sz w:val="24"/>
        </w:rPr>
        <w:t>如长时间不用，也需对电瓶定期充电保养。</w:t>
      </w:r>
    </w:p>
    <w:sectPr>
      <w:pgSz w:w="11910" w:h="16840"/>
      <w:pgMar w:top="1260" w:right="400" w:bottom="940" w:left="900" w:header="504" w:footer="756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思源黑体 CN Heavy">
    <w:altName w:val="黑体"/>
    <w:panose1 w:val="020B0A00000000000000"/>
    <w:charset w:val="86"/>
    <w:family w:val="auto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pict>
        <v:rect id="_x0000_s2052" o:spid="_x0000_s2052" o:spt="1" style="position:absolute;left:0pt;margin-left:36.2pt;margin-top:790.2pt;height:28.3pt;width:528.6pt;mso-position-horizontal-relative:page;mso-position-vertical-relative:page;z-index:-251653120;mso-width-relative:page;mso-height-relative:page;" fillcolor="#6EAC46" filled="t" stroked="f" coordsize="21600,21600">
          <v:path/>
          <v:fill on="t" focussize="0,0"/>
          <v:stroke on="f"/>
          <v:imagedata o:title=""/>
          <o:lock v:ext="edit"/>
        </v:rect>
      </w:pict>
    </w:r>
    <w:r>
      <w:pict>
        <v:shape id="_x0000_s2053" o:spid="_x0000_s2053" o:spt="202" type="#_x0000_t202" style="position:absolute;left:0pt;margin-left:38.1pt;margin-top:798.65pt;height:13.05pt;width:52.3pt;mso-position-horizontal-relative:page;mso-position-vertical-relative:page;z-index:-25165209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FFFFFF"/>
                    <w:w w:val="90"/>
                    <w:sz w:val="18"/>
                  </w:rPr>
                  <w:t>Ref.no. xxxx</w:t>
                </w:r>
              </w:p>
            </w:txbxContent>
          </v:textbox>
        </v:shape>
      </w:pict>
    </w:r>
    <w:r>
      <w:pict>
        <v:shape id="_x0000_s2054" o:spid="_x0000_s2054" o:spt="202" type="#_x0000_t202" style="position:absolute;left:0pt;margin-left:287pt;margin-top:798.65pt;height:13.05pt;width:27.3pt;mso-position-horizontal-relative:page;mso-position-vertical-relative:page;z-index:-25165107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FFFFFF"/>
                    <w:spacing w:val="-3"/>
                    <w:w w:val="95"/>
                    <w:sz w:val="18"/>
                  </w:rPr>
                  <w:t>Rev.</w:t>
                </w:r>
                <w:r>
                  <w:rPr>
                    <w:rFonts w:ascii="Verdana"/>
                    <w:color w:val="FFFFFF"/>
                    <w:spacing w:val="-32"/>
                    <w:w w:val="95"/>
                    <w:sz w:val="18"/>
                  </w:rPr>
                  <w:t xml:space="preserve"> </w:t>
                </w:r>
                <w:r>
                  <w:rPr>
                    <w:rFonts w:ascii="Verdana"/>
                    <w:color w:val="FFFFFF"/>
                    <w:w w:val="95"/>
                    <w:sz w:val="18"/>
                  </w:rPr>
                  <w:t>0</w:t>
                </w:r>
              </w:p>
            </w:txbxContent>
          </v:textbox>
        </v:shape>
      </w:pict>
    </w:r>
    <w:r>
      <w:pict>
        <v:shape id="_x0000_s2055" o:spid="_x0000_s2055" o:spt="202" type="#_x0000_t202" style="position:absolute;left:0pt;margin-left:544.45pt;margin-top:798.65pt;height:11pt;width:8.5pt;mso-position-horizontal-relative:page;mso-position-vertical-relative:page;z-index:-25165004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0" w:lineRule="exact"/>
                  <w:ind w:left="40" w:right="0" w:firstLine="0"/>
                  <w:jc w:val="left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pict>
        <v:rect id="_x0000_s2049" o:spid="_x0000_s2049" o:spt="1" style="position:absolute;left:0pt;margin-left:36pt;margin-top:25.55pt;height:28.2pt;width:527.6pt;mso-position-horizontal-relative:page;mso-position-vertical-relative:page;z-index:-251656192;mso-width-relative:page;mso-height-relative:page;" fillcolor="#6EAC46" filled="t" stroked="f" coordsize="21600,21600">
          <v:path/>
          <v:fill on="t" focussize="0,0"/>
          <v:stroke on="f"/>
          <v:imagedata o:title=""/>
          <o:lock v:ext="edit"/>
        </v:rect>
      </w:pict>
    </w:r>
    <w:r>
      <w:pict>
        <v:shape id="_x0000_s2050" o:spid="_x0000_s2050" o:spt="202" type="#_x0000_t202" style="position:absolute;left:0pt;margin-left:38pt;margin-top:24.2pt;height:26.25pt;width:127.75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62" w:lineRule="exact"/>
                  <w:ind w:left="20" w:right="0" w:firstLine="0"/>
                  <w:jc w:val="left"/>
                  <w:rPr>
                    <w:rFonts w:hint="eastAsia" w:ascii="微软雅黑" w:eastAsia="微软雅黑"/>
                    <w:sz w:val="18"/>
                  </w:rPr>
                </w:pPr>
                <w:r>
                  <w:rPr>
                    <w:rFonts w:hint="eastAsia" w:ascii="微软雅黑" w:eastAsia="微软雅黑"/>
                    <w:color w:val="FFFFFF"/>
                    <w:sz w:val="18"/>
                  </w:rPr>
                  <w:t>特博特建筑科技</w:t>
                </w:r>
              </w:p>
              <w:p>
                <w:pPr>
                  <w:spacing w:before="0" w:line="262" w:lineRule="exact"/>
                  <w:ind w:left="20" w:right="0" w:firstLine="0"/>
                  <w:jc w:val="left"/>
                  <w:rPr>
                    <w:rFonts w:ascii="微软雅黑"/>
                    <w:sz w:val="18"/>
                  </w:rPr>
                </w:pPr>
                <w:r>
                  <w:rPr>
                    <w:rFonts w:ascii="微软雅黑"/>
                    <w:color w:val="FFFFFF"/>
                    <w:sz w:val="18"/>
                  </w:rPr>
                  <w:t>Tools of Building Technology</w:t>
                </w:r>
              </w:p>
            </w:txbxContent>
          </v:textbox>
        </v:shape>
      </w:pict>
    </w:r>
    <w:r>
      <w:pict>
        <v:shape id="_x0000_s2051" o:spid="_x0000_s2051" o:spt="202" type="#_x0000_t202" style="position:absolute;left:0pt;margin-left:511.5pt;margin-top:26.2pt;height:24pt;width:43.85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20" w:line="219" w:lineRule="exact"/>
                  <w:ind w:left="0" w:right="27" w:firstLine="0"/>
                  <w:jc w:val="right"/>
                  <w:rPr>
                    <w:rFonts w:hint="default" w:ascii="Verdana" w:eastAsia="宋体"/>
                    <w:color w:val="FFFFFF" w:themeColor="background1"/>
                    <w:sz w:val="18"/>
                    <w:lang w:val="en-US" w:eastAsia="zh-CN"/>
                  </w:rPr>
                </w:pPr>
                <w:r>
                  <w:rPr>
                    <w:rFonts w:hint="eastAsia" w:ascii="Verdana"/>
                    <w:color w:val="FFFFFF" w:themeColor="background1"/>
                    <w:sz w:val="18"/>
                    <w:lang w:val="en-US" w:eastAsia="zh-CN"/>
                  </w:rPr>
                  <w:t>M2000</w:t>
                </w:r>
              </w:p>
              <w:p>
                <w:pPr>
                  <w:spacing w:before="0"/>
                  <w:ind w:left="0" w:right="18" w:firstLine="0"/>
                  <w:jc w:val="right"/>
                  <w:rPr>
                    <w:rFonts w:ascii="Verdana"/>
                    <w:sz w:val="18"/>
                  </w:rPr>
                </w:pP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2"/>
      <w:numFmt w:val="decimal"/>
      <w:lvlText w:val="%1."/>
      <w:lvlJc w:val="left"/>
      <w:pPr>
        <w:ind w:left="620" w:hanging="241"/>
        <w:jc w:val="left"/>
      </w:pPr>
      <w:rPr>
        <w:rFonts w:hint="default" w:ascii="宋体" w:hAnsi="宋体" w:eastAsia="宋体" w:cs="宋体"/>
        <w:color w:val="211F1F"/>
        <w:w w:val="100"/>
        <w:sz w:val="22"/>
        <w:szCs w:val="22"/>
        <w:lang w:val="en-US" w:eastAsia="en-US" w:bidi="en-US"/>
      </w:rPr>
    </w:lvl>
    <w:lvl w:ilvl="1" w:tentative="0">
      <w:start w:val="0"/>
      <w:numFmt w:val="bullet"/>
      <w:lvlText w:val="•"/>
      <w:lvlJc w:val="left"/>
      <w:pPr>
        <w:ind w:left="1619" w:hanging="241"/>
      </w:pPr>
      <w:rPr>
        <w:rFonts w:hint="default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2618" w:hanging="241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3617" w:hanging="241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4616" w:hanging="241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5615" w:hanging="241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6614" w:hanging="241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7613" w:hanging="241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8612" w:hanging="241"/>
      </w:pPr>
      <w:rPr>
        <w:rFonts w:hint="default"/>
        <w:lang w:val="en-US" w:eastAsia="en-US" w:bidi="en-US"/>
      </w:rPr>
    </w:lvl>
  </w:abstractNum>
  <w:abstractNum w:abstractNumId="1">
    <w:nsid w:val="BF205925"/>
    <w:multiLevelType w:val="multilevel"/>
    <w:tmpl w:val="BF205925"/>
    <w:lvl w:ilvl="0" w:tentative="0">
      <w:start w:val="2"/>
      <w:numFmt w:val="decimal"/>
      <w:lvlText w:val="%1."/>
      <w:lvlJc w:val="left"/>
      <w:pPr>
        <w:ind w:left="605" w:hanging="241"/>
        <w:jc w:val="left"/>
      </w:pPr>
      <w:rPr>
        <w:rFonts w:hint="default" w:ascii="宋体" w:hAnsi="宋体" w:eastAsia="宋体" w:cs="宋体"/>
        <w:color w:val="211F1F"/>
        <w:w w:val="100"/>
        <w:sz w:val="22"/>
        <w:szCs w:val="22"/>
        <w:lang w:val="en-US" w:eastAsia="en-US" w:bidi="en-US"/>
      </w:rPr>
    </w:lvl>
    <w:lvl w:ilvl="1" w:tentative="0">
      <w:start w:val="0"/>
      <w:numFmt w:val="bullet"/>
      <w:lvlText w:val="•"/>
      <w:lvlJc w:val="left"/>
      <w:pPr>
        <w:ind w:left="1601" w:hanging="241"/>
      </w:pPr>
      <w:rPr>
        <w:rFonts w:hint="default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2602" w:hanging="241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3603" w:hanging="241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4604" w:hanging="241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5605" w:hanging="241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6606" w:hanging="241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7607" w:hanging="241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8608" w:hanging="241"/>
      </w:pPr>
      <w:rPr>
        <w:rFonts w:hint="default"/>
        <w:lang w:val="en-US" w:eastAsia="en-US" w:bidi="en-US"/>
      </w:rPr>
    </w:lvl>
  </w:abstractNum>
  <w:abstractNum w:abstractNumId="2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620" w:hanging="241"/>
        <w:jc w:val="left"/>
      </w:pPr>
      <w:rPr>
        <w:rFonts w:hint="default" w:ascii="宋体" w:hAnsi="宋体" w:eastAsia="宋体" w:cs="宋体"/>
        <w:color w:val="221F1F"/>
        <w:w w:val="100"/>
        <w:sz w:val="22"/>
        <w:szCs w:val="22"/>
        <w:lang w:val="en-US" w:eastAsia="en-US" w:bidi="en-US"/>
      </w:rPr>
    </w:lvl>
    <w:lvl w:ilvl="1" w:tentative="0">
      <w:start w:val="0"/>
      <w:numFmt w:val="bullet"/>
      <w:lvlText w:val="•"/>
      <w:lvlJc w:val="left"/>
      <w:pPr>
        <w:ind w:left="1619" w:hanging="241"/>
      </w:pPr>
      <w:rPr>
        <w:rFonts w:hint="default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2618" w:hanging="241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3617" w:hanging="241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4616" w:hanging="241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5615" w:hanging="241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6614" w:hanging="241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7613" w:hanging="241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8612" w:hanging="241"/>
      </w:pPr>
      <w:rPr>
        <w:rFonts w:hint="default"/>
        <w:lang w:val="en-US" w:eastAsia="en-US" w:bidi="en-US"/>
      </w:rPr>
    </w:lvl>
  </w:abstractNum>
  <w:abstractNum w:abstractNumId="3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620" w:hanging="241"/>
        <w:jc w:val="left"/>
      </w:pPr>
      <w:rPr>
        <w:rFonts w:hint="default" w:ascii="宋体" w:hAnsi="宋体" w:eastAsia="宋体" w:cs="宋体"/>
        <w:color w:val="221F1F"/>
        <w:w w:val="100"/>
        <w:sz w:val="22"/>
        <w:szCs w:val="22"/>
        <w:lang w:val="en-US" w:eastAsia="en-US" w:bidi="en-US"/>
      </w:rPr>
    </w:lvl>
    <w:lvl w:ilvl="1" w:tentative="0">
      <w:start w:val="0"/>
      <w:numFmt w:val="bullet"/>
      <w:lvlText w:val="•"/>
      <w:lvlJc w:val="left"/>
      <w:pPr>
        <w:ind w:left="1619" w:hanging="241"/>
      </w:pPr>
      <w:rPr>
        <w:rFonts w:hint="default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2618" w:hanging="241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3617" w:hanging="241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4616" w:hanging="241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5615" w:hanging="241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6614" w:hanging="241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7613" w:hanging="241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8612" w:hanging="241"/>
      </w:pPr>
      <w:rPr>
        <w:rFonts w:hint="default"/>
        <w:lang w:val="en-US" w:eastAsia="en-US" w:bidi="en-US"/>
      </w:rPr>
    </w:lvl>
  </w:abstractNum>
  <w:abstractNum w:abstractNumId="4">
    <w:nsid w:val="7ACB524D"/>
    <w:multiLevelType w:val="singleLevel"/>
    <w:tmpl w:val="7ACB524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docVars>
    <w:docVar w:name="commondata" w:val="eyJoZGlkIjoiYzEzZGNiYWQ0Y2E4NjJhNDlmZjlmMDFmNWUwODcwYmIifQ=="/>
  </w:docVars>
  <w:rsids>
    <w:rsidRoot w:val="00000000"/>
    <w:rsid w:val="06513B5E"/>
    <w:rsid w:val="15883B95"/>
    <w:rsid w:val="1EA61186"/>
    <w:rsid w:val="1FAA3117"/>
    <w:rsid w:val="2ADC4621"/>
    <w:rsid w:val="2B4C75CA"/>
    <w:rsid w:val="59145D6B"/>
    <w:rsid w:val="5B7C3287"/>
    <w:rsid w:val="68531E7F"/>
    <w:rsid w:val="6A674775"/>
    <w:rsid w:val="6CF6485E"/>
    <w:rsid w:val="7A7D328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spacing w:before="25"/>
      <w:ind w:left="376"/>
      <w:outlineLvl w:val="1"/>
    </w:pPr>
    <w:rPr>
      <w:rFonts w:ascii="宋体" w:hAnsi="宋体" w:eastAsia="宋体" w:cs="宋体"/>
      <w:b/>
      <w:bCs/>
      <w:sz w:val="28"/>
      <w:szCs w:val="28"/>
      <w:lang w:val="en-US" w:eastAsia="en-US" w:bidi="en-US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en-US" w:eastAsia="en-US" w:bidi="en-US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spacing w:before="86"/>
      <w:ind w:left="620" w:hanging="242"/>
    </w:pPr>
    <w:rPr>
      <w:rFonts w:ascii="宋体" w:hAnsi="宋体" w:eastAsia="宋体" w:cs="宋体"/>
      <w:lang w:val="en-US" w:eastAsia="en-US" w:bidi="en-US"/>
    </w:rPr>
  </w:style>
  <w:style w:type="paragraph" w:customStyle="1" w:styleId="8">
    <w:name w:val="Table Paragraph"/>
    <w:basedOn w:val="1"/>
    <w:qFormat/>
    <w:uiPriority w:val="1"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ScaleCrop>false</ScaleCrop>
  <LinksUpToDate>false</LinksUpToDate>
  <Application>WPS Office_12.1.0.15336_F1E327BC-269C-435d-A152-05C5408002CA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2020-06-26T09:35:00Z</dcterms:created>
  <dc:creator>herbert</dc:creator>
  <cp:lastModifiedBy>WPS_1078808818</cp:lastModifiedBy>
  <dcterms:modified xsi:type="dcterms:W3CDTF">2023-09-05T06:10:56Z</dcterms:modified>
  <dc:title>AOXS_US_Rev0.indd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2019-01-20T00:00:00Z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2020-06-26T00:00:00Z</vt:filetime>
  </property>
  <property fmtid="{D5CDD505-2E9C-101B-9397-08002B2CF9AE}" pid="5" name="KSOProductBuildVer">
    <vt:lpwstr>2052-12.1.0.15336</vt:lpwstr>
  </property>
  <property fmtid="{D5CDD505-2E9C-101B-9397-08002B2CF9AE}" pid="6" name="ICV">
    <vt:lpwstr>EF5B4A5D82354A14A9017512AF797A4A</vt:lpwstr>
  </property>
</Properties>
</file>